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center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</w:t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#ДеньПобеды </w:t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center"/>
        <w:rPr>
          <w:b/>
          <w:b/>
          <w:szCs w:val="28"/>
        </w:rPr>
      </w:pPr>
      <w:r>
        <w:rPr>
          <w:b/>
          <w:szCs w:val="28"/>
        </w:rPr>
        <w:t xml:space="preserve">Афиша мероприятий, посвященных Дню Победы </w:t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center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284"/>
        <w:jc w:val="both"/>
        <w:rPr/>
      </w:pPr>
      <w:r>
        <w:rPr>
          <w:szCs w:val="28"/>
        </w:rPr>
        <w:t xml:space="preserve">   </w:t>
      </w:r>
      <w:r>
        <w:rPr>
          <w:szCs w:val="28"/>
        </w:rPr>
        <w:t xml:space="preserve">Шествия, парада военизированной техники, а также «Бессмертного полка» в традиционной форме в этом году в Нижневартовске не будет в знак солидарности с приграничными территориями, а также для обеспечения безопасности. </w:t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284"/>
        <w:jc w:val="both"/>
        <w:rPr/>
      </w:pPr>
      <w:r>
        <w:rPr/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 xml:space="preserve">Тем не менее, в городе будет создана праздничная атмосфера и состоятся мероприятия, в первую очередь, для ветеранов и в память о тех, кто обеспечил Победу над фашизмом 78 лет назад. </w:t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Состоятся возложения цветов, выступления артисто</w:t>
      </w:r>
      <w:bookmarkStart w:id="0" w:name="_GoBack"/>
      <w:bookmarkEnd w:id="0"/>
      <w:r>
        <w:rPr>
          <w:szCs w:val="28"/>
        </w:rPr>
        <w:t xml:space="preserve">в, тематические выставки. Ниже можно ознакомиться с афишей мероприятий, посвященных Дню Победы. </w:t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center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tbl>
      <w:tblPr>
        <w:tblW w:w="11057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0"/>
        <w:gridCol w:w="2267"/>
        <w:gridCol w:w="2127"/>
        <w:gridCol w:w="5102"/>
      </w:tblGrid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мая 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до 15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fill="FFFFFF" w:val="clear"/>
              </w:rPr>
              <w:t>Театрализованный концерт «А зори здесь тихие» (12+)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FFFFFF" w:val="clear"/>
              </w:rPr>
              <w:t>Дворец искусств (улица Ленина, 7)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shd w:fill="FFFFFF" w:val="clear"/>
              </w:rPr>
              <w:t>В концертном зале Дворца искусств к 78-летию Великой Победы состоится театрализованный концерт по повести Бориса Васильева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мая 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до 17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fill="FFFFFF" w:val="clear"/>
              </w:rPr>
              <w:t>Театрализованный концерт «А зори здесь тихие» (12+)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FFFFFF" w:val="clear"/>
              </w:rPr>
              <w:t>Дворец искусств (улица Ленина, 7)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shd w:fill="FFFFFF" w:val="clear"/>
              </w:rPr>
              <w:t>К 78-летию Великой Победы в концертном зале Дворца искусств состоится театрализованный концерт по повести Бориса Васильева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 мая 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 до 19 часов 30 минут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Праздничный концерт в рамках музыкального проекта «Мелодия Победы», посвященный 78-й годовщине победы в Великой Отечественной войне 1941-1945 гг. (0+)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Центр национальных культур (улица Мира, 31-А)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концертной программе мероприятия примут участие артисты творческих коллективов национальных общественных организаций города и Центра национальных культур.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Профессиональные вокалисты исполнят песни военных лет. Вместе с выступающими зрители споют любимые композиции «Журавли», «Синий платочек», «Катюша» и многие другие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мая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15 часов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18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Театрализованный праздничный концерт, посвященный 78-й годовщине Победы советского народа в Великой Отечественной войне (12+)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Дворец культуры «Октябрь» (улица 60 лет Октября, 11/2)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Великая Победа... Путь к ней был долог и труден. Болью, невосполнимыми потерями и разрушениями были наполнены 1418 дней и ночей Великой Отечественной войны. Никто и ничто не в состоянии умалить величие подвига народа, всемирно-историческое значение победы над фашизмом. </w:t>
              <w:br/>
              <w:t>В ДК «Октябрь» состоится театрализованный концерт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7 мая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 12 до 12 часов 30 минут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Церемония возложения цветов у памятника поэта-героя Советского Союза Мусы Джалиля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Территория у памятника поэта - Героя Советского Союза Мусы Джалиля (улица 60 лет Октября)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набережной у памятника героя Советского Союза, поэта Мусы Джалиля состоится традиционное возложение цветов с участием ветеранов Великой Отечественной войны.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Мероприятие проводится Центром национальных культур совместно с местной общественной организацией «Татарская национально-культурная автономия города Нижневартовска «Мирас (Наследие)».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праздник будут приглашены ветераны Великой Отечественной войны, почетные гости, студенты, обучающиеся из образовательных учреждений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 мая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Театрализованный праздничный концерт, посвященный 78-й годовщине Победы советского народа в Великой Отечественной войне (12+)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Дворец культуры «Октябрь» (улица 60 лет Октября, 11/2)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ДК «Октябрь» состоится театрализованный концерт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мая с 16 до 17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fill="FFFFFF" w:val="clear"/>
              </w:rPr>
              <w:t>Театрализованный концерт «А зори здесь тихие» (12+)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FFFFFF" w:val="clear"/>
              </w:rPr>
              <w:t>Дворец искусств (улица Ленина, 7)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shd w:fill="FFFFFF" w:val="clear"/>
              </w:rPr>
              <w:t>В концертном зале Дворца искусств состоится театрализованный концерт по повести Бориса Васильева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мая 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до 12 часов 30 минут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Церемония возложения цветов, посвященная празднованию 78-й годовщины Победы в Великой Отечественной войне 1941-1945 годов (6+)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Мемориал «Воинам-землякам, погибшим в годы Великой Отечественной войны 1941-1945 годов»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Традиционная церемония возложения цветов, посвященная 78-й годовщине Победы советского народа в Великой Отечественной войне 1941 -1945 годов. В митинге примут участие ветераны, представители администрации и Думы города, представители общественных организаций, трудовых предприятий, обучающиеся общеобразовательных школ, высших и средне-специальных учебных заведений Нижневартовска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 мая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 часов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Выступление фронтовой бригады (0+)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Во дворах домов по адресам:</w:t>
            </w:r>
          </w:p>
          <w:p>
            <w:pPr>
              <w:pStyle w:val="Normal"/>
              <w:widowControl w:val="false"/>
              <w:spacing w:before="0" w:after="1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Героев Самотлора, 23 и Менделеева, 4-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Концертная бригада Центра национальных культур поздравит ветеранов</w:t>
            </w:r>
            <w:r>
              <w:rPr>
                <w:rFonts w:eastAsia="Calibri"/>
                <w:color w:val="000000" w:themeColor="text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 78-й годовщиной Победы советского народа в Великой Отечественной войне 1941-1945 годов. В рамках мероприятия творческие коллективы учреждения и национальных общественных организаций исполнят песни военных лет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мая с 13 до 17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Интерактивная площадка с участием современной стилизованной военной техники и организацией полевой кухни на площади у сквера Космонавтов (6+)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территории огражденного участка улицы 60 лет Октября (район старой автостанции)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Организованная зона отдыха горожан, которая будет включать: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точки продажи еды и горячих напитков, - импровизированную полевую кухню,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музей военной техники под открытым небом,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военные палатки, в которых будут проходить мастер-классы (например, локация «Журавлик»).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Здесь также состоится кинопоказ документальной хроники о войне.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Для жителей и гостей города будут работать площадки караоке, электронный тир, «Школа молодого бойца» (сборка, разборка автомата, наматывание портянок, одевание на скорость военного обмундирования и т.д.), откроется локация «Майский вальс», выставка экспонатов ЦД и ЮТТ «Патриот»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 мая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 12 до 16 часов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Творческий марафон «Вальс Победного мая»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(0+)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Площадь Нефтяников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 площади состоится творческий марафон «Вальс Победного мая» от Центра национальных культур и национальных общественных объединений города Нижневартовска. Во время концерта артисты исполнят для зрителей песни военных лет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 мая с 13 до 14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Праздничная гостиная для ветеранов, организованная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000000" w:themeColor="text1"/>
                <w:sz w:val="24"/>
                <w:szCs w:val="24"/>
              </w:rPr>
              <w:t>(вход по пригласительным билетам)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гостиничный комплекс «Жемчужина Сибири» (улица 60 лет Октября, 6-А)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Праздничная гостиная для ветеранов, организованная корпорацией «Славтэк» при поддержке администрации города и бизнес-сообщества 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XO Thames" w:hAnsi="XO Thames" w:eastAsia="Calibri" w:cs="XO Thames"/>
                <w:sz w:val="24"/>
                <w:szCs w:val="24"/>
              </w:rPr>
            </w:pPr>
            <w:r>
              <w:rPr>
                <w:rFonts w:eastAsia="Calibri" w:cs="XO Thames" w:ascii="XO Thames" w:hAnsi="XO Thames"/>
                <w:sz w:val="24"/>
                <w:szCs w:val="24"/>
              </w:rPr>
              <w:t>9 мая 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XO Thames" w:hAnsi="XO Thames" w:eastAsia="Calibri" w:cs="XO Thames"/>
                <w:sz w:val="24"/>
                <w:szCs w:val="24"/>
              </w:rPr>
            </w:pPr>
            <w:r>
              <w:rPr>
                <w:rFonts w:eastAsia="Calibri" w:cs="XO Thames" w:ascii="XO Thames" w:hAnsi="XO Thames"/>
                <w:sz w:val="24"/>
                <w:szCs w:val="24"/>
              </w:rPr>
              <w:t>16 до 20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XO Thames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="Calibri" w:cs="XO Thames" w:ascii="XO Thames" w:hAnsi="XO Thames"/>
                <w:color w:val="000000"/>
                <w:sz w:val="24"/>
                <w:szCs w:val="24"/>
                <w:shd w:fill="FFFFFF" w:val="clear"/>
              </w:rPr>
              <w:t>Интерактивная площадка «Стихи и песни военных лет»</w:t>
            </w:r>
            <w:r>
              <w:rPr>
                <w:rFonts w:eastAsia="Calibri" w:cs="XO Thames"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 xml:space="preserve">, </w:t>
            </w:r>
            <w:r>
              <w:rPr>
                <w:rFonts w:eastAsia="Calibri" w:cs="XO Thames" w:ascii="XO Thames" w:hAnsi="XO Thames"/>
                <w:color w:val="000000"/>
                <w:sz w:val="24"/>
                <w:szCs w:val="24"/>
                <w:shd w:fill="FFFFFF" w:val="clear"/>
              </w:rPr>
              <w:t>концертная программа творческих коллективов (6+)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Площадь Нефтяников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XO Thames" w:ascii="XO Thames" w:hAnsi="XO Thames"/>
                <w:sz w:val="24"/>
                <w:szCs w:val="24"/>
                <w:shd w:fill="FFFFFF" w:val="clear"/>
              </w:rPr>
              <w:t xml:space="preserve">В День Победы состоятся литературные чтения.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XO Thames" w:hAnsi="XO Thames" w:eastAsia="Calibri" w:cs="XO Thame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FFFFFF" w:val="clear"/>
              </w:rPr>
              <w:t>На площади Нефтяников состоится концерт творческих коллективов</w:t>
            </w:r>
          </w:p>
        </w:tc>
      </w:tr>
      <w:tr>
        <w:trPr>
          <w:trHeight w:val="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мая 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до 20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Концерт, посвященный 78-летию Победы в Великой Отечественной войне 1941-1945 годов (6+)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Фойе Городского драматического театра (улица Спортивная, 1)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исполнении актеров прозвучат стихи и песни военных и послевоенных лет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Style35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Нижневартовск уже украшают к празднику – это дань памяти героям Победы и уважение ко всем, кто приближал 9 мая. Вартовчане могут присоединиться к празднику, даже если не получиться лично принять участие в мероприятиях в День Победы. В этом году штаб движения «Бессмертный полк» предлагает различные форматы, в том числе и онлайн. </w:t>
      </w:r>
    </w:p>
    <w:p>
      <w:pPr>
        <w:pStyle w:val="Style35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Каждый может выложить биографию своего отца, деда или прадеда – как участника Великой Отечественной войны, так и труженика тыла, партизана, узника нацистских концлагерей или участника специальной военной операции на личных страницах в социальных сетях с хештегом #нашБессмертныйполк. Для оформления портрета своего героя можно воспользоваться конструктором сайта </w:t>
      </w:r>
      <w:hyperlink r:id="rId2" w:tgtFrame="http://www.polkrf.ru">
        <w:r>
          <w:rPr>
            <w:rFonts w:eastAsia="Calibri"/>
            <w:sz w:val="28"/>
            <w:szCs w:val="28"/>
          </w:rPr>
          <w:t>www.polkrf.ru</w:t>
        </w:r>
      </w:hyperlink>
      <w:r>
        <w:rPr>
          <w:rFonts w:eastAsia="Calibri"/>
          <w:sz w:val="28"/>
          <w:szCs w:val="28"/>
        </w:rPr>
        <w:t>. Подробная инструкция по ссылке:</w:t>
      </w:r>
      <w:r>
        <w:rPr>
          <w:sz w:val="28"/>
          <w:szCs w:val="28"/>
        </w:rPr>
        <w:t xml:space="preserve"> </w:t>
      </w:r>
      <w:hyperlink r:id="rId3" w:tgtFrame="https://www.polkrf.ru/shtender">
        <w:r>
          <w:rPr>
            <w:rFonts w:eastAsia="Calibri"/>
            <w:sz w:val="28"/>
            <w:szCs w:val="28"/>
          </w:rPr>
          <w:t>https://www.polkrf.ru/shtender</w:t>
        </w:r>
      </w:hyperlink>
      <w:r>
        <w:rPr>
          <w:rFonts w:eastAsia="Calibri"/>
          <w:sz w:val="28"/>
          <w:szCs w:val="28"/>
        </w:rPr>
        <w:t xml:space="preserve">. </w:t>
      </w:r>
    </w:p>
    <w:p>
      <w:pPr>
        <w:pStyle w:val="Style35"/>
        <w:ind w:firstLine="709"/>
        <w:jc w:val="both"/>
        <w:rPr>
          <w:rFonts w:eastAsia="Calibri"/>
          <w:bCs/>
          <w:color w:val="FF0000"/>
        </w:rPr>
      </w:pPr>
      <w:r>
        <w:rPr>
          <w:rFonts w:eastAsia="Calibri"/>
          <w:sz w:val="28"/>
          <w:szCs w:val="28"/>
        </w:rPr>
        <w:t xml:space="preserve">Добавим, одна из традиций, связанных с празднованием Дня Победы, - это акция «Георгиевская ленточка». Она стартовала по всей стране. Черно-оранжевые символы победы будут раздавать на улицах и в торговых центрах. 29 апреля с 15 до 16 часов в здании ТРЦ «Югра-Молл» добровольцы (волонтеры) ресурсного центра «Добродом» МАУ г. Нижневартовска «Молодежный центр» проведут акцию «Георгиевская ленточка». Они раздадут ленты жителям, расскажут об истории акции. К акции присоединились и предприниматели. Подробная информация по </w:t>
      </w:r>
      <w:hyperlink r:id="rId4" w:tgtFrame="https://www.n-vartovsk.ru/news/citywide_news/76_letie_pobedy/463292.html">
        <w:r>
          <w:rPr>
            <w:rFonts w:eastAsia="Calibri"/>
            <w:sz w:val="28"/>
            <w:szCs w:val="28"/>
          </w:rPr>
          <w:t>ссылке</w:t>
        </w:r>
      </w:hyperlink>
      <w:r>
        <w:rPr>
          <w:rFonts w:eastAsia="Calibri"/>
          <w:sz w:val="28"/>
          <w:szCs w:val="28"/>
        </w:rPr>
        <w:t xml:space="preserve">. </w:t>
      </w:r>
    </w:p>
    <w:p>
      <w:pPr>
        <w:pStyle w:val="Style35"/>
        <w:ind w:firstLine="709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both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b/>
          <w:b/>
          <w:szCs w:val="28"/>
        </w:rPr>
      </w:pPr>
      <w:r>
        <w:rPr>
          <w:b/>
          <w:szCs w:val="28"/>
        </w:rPr>
        <w:t xml:space="preserve">Департамент общественных коммуникаций и молодежной политики администрации города Нижневартовска. </w:t>
      </w:r>
    </w:p>
    <w:p>
      <w:pPr>
        <w:pStyle w:val="Normal"/>
        <w:tabs>
          <w:tab w:val="clear" w:pos="708"/>
          <w:tab w:val="left" w:pos="8364" w:leader="none"/>
          <w:tab w:val="left" w:pos="9781" w:leader="none"/>
        </w:tabs>
        <w:spacing w:lineRule="auto" w:line="240" w:before="0" w:after="0"/>
        <w:ind w:firstLine="567"/>
        <w:jc w:val="right"/>
        <w:rPr>
          <w:b/>
          <w:b/>
          <w:szCs w:val="28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566" w:gutter="0" w:header="0" w:top="1054" w:footer="0" w:bottom="2552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XO Thame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690" cy="1202690"/>
          <wp:effectExtent l="0" t="0" r="0" b="0"/>
          <wp:wrapSquare wrapText="bothSides"/>
          <wp:docPr id="2" name="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0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tabs>
        <w:tab w:val="clear" w:pos="9355"/>
        <w:tab w:val="center" w:pos="4677" w:leader="none"/>
        <w:tab w:val="right" w:pos="9922" w:leader="none"/>
      </w:tabs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690" cy="1202690"/>
          <wp:effectExtent l="0" t="0" r="0" b="0"/>
          <wp:wrapSquare wrapText="bothSides"/>
          <wp:docPr id="3" name="Рисунок 13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3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0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ind w:left="142" w:hanging="0"/>
      <w:rPr>
        <w:lang w:eastAsia="ru-RU"/>
      </w:rPr>
    </w:pPr>
    <w:r>
      <w:rPr>
        <w:lang w:eastAsia="ru-RU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403860</wp:posOffset>
          </wp:positionH>
          <wp:positionV relativeFrom="paragraph">
            <wp:posOffset>-688975</wp:posOffset>
          </wp:positionV>
          <wp:extent cx="6751955" cy="913130"/>
          <wp:effectExtent l="0" t="0" r="0" b="0"/>
          <wp:wrapNone/>
          <wp:docPr id="4" name="Рисунок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1955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34"/>
      <w:ind w:left="142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-116840</wp:posOffset>
          </wp:positionH>
          <wp:positionV relativeFrom="paragraph">
            <wp:posOffset>304800</wp:posOffset>
          </wp:positionV>
          <wp:extent cx="6551295" cy="1351915"/>
          <wp:effectExtent l="0" t="0" r="0" b="0"/>
          <wp:wrapNone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1295" cy="135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40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40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pPr>
      <w:spacing w:lineRule="auto" w:line="240" w:beforeAutospacing="1" w:afterAutospacing="1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Arial" w:cs="Arial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link w:val="Quote"/>
    <w:uiPriority w:val="29"/>
    <w:qFormat/>
    <w:rPr>
      <w:i/>
    </w:rPr>
  </w:style>
  <w:style w:type="character" w:styleId="IntenseQuoteChar">
    <w:name w:val="Intense Quote Char"/>
    <w:link w:val="IntenseQuote"/>
    <w:uiPriority w:val="30"/>
    <w:qFormat/>
    <w:rPr>
      <w:i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 w:customStyle="1">
    <w:name w:val="Текст сноски Знак"/>
    <w:uiPriority w:val="99"/>
    <w:qFormat/>
    <w:rPr>
      <w:sz w:val="18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0" w:customStyle="1">
    <w:name w:val="Текст концевой сноски Знак"/>
    <w:uiPriority w:val="99"/>
    <w:qFormat/>
    <w:rPr>
      <w:sz w:val="20"/>
    </w:rPr>
  </w:style>
  <w:style w:type="character" w:styleId="Style1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2" w:customStyle="1">
    <w:name w:val="Верхний колонтитул Знак"/>
    <w:basedOn w:val="DefaultParagraphFont"/>
    <w:uiPriority w:val="99"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6">
    <w:name w:val="Посещённая гиперссылка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7">
    <w:name w:val="Выделение"/>
    <w:basedOn w:val="DefaultParagraphFont"/>
    <w:uiPriority w:val="20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Pr>
      <w:rFonts w:ascii="Consolas" w:hAnsi="Consolas" w:cs="Consolas"/>
      <w:sz w:val="20"/>
      <w:szCs w:val="20"/>
    </w:rPr>
  </w:style>
  <w:style w:type="character" w:styleId="11" w:customStyle="1">
    <w:name w:val="Заголовок 1 Знак"/>
    <w:basedOn w:val="DefaultParagraphFont"/>
    <w:uiPriority w:val="9"/>
    <w:qFormat/>
    <w:rPr>
      <w:rFonts w:eastAsia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Pr>
      <w:rFonts w:ascii="Calibri Light" w:hAnsi="Calibri Light" w:eastAsia="Arial" w:cs="Arial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ormaltextrun" w:customStyle="1">
    <w:name w:val="normaltextrun"/>
    <w:basedOn w:val="DefaultParagraphFont"/>
    <w:qFormat/>
    <w:rPr/>
  </w:style>
  <w:style w:type="character" w:styleId="Eop" w:customStyle="1">
    <w:name w:val="eop"/>
    <w:basedOn w:val="DefaultParagraphFont"/>
    <w:qFormat/>
    <w:rPr/>
  </w:style>
  <w:style w:type="character" w:styleId="Style18" w:customStyle="1">
    <w:name w:val="Абзац списка Знак"/>
    <w:link w:val="ListParagraph"/>
    <w:uiPriority w:val="34"/>
    <w:qFormat/>
    <w:rPr>
      <w:rFonts w:ascii="Calibri" w:hAnsi="Calibri" w:cs="Arial" w:asciiTheme="minorHAnsi" w:cstheme="minorBidi" w:hAnsiTheme="minorHAnsi"/>
      <w:sz w:val="22"/>
      <w:szCs w:val="22"/>
    </w:rPr>
  </w:style>
  <w:style w:type="character" w:styleId="Style19" w:customStyle="1">
    <w:name w:val="Без интервала Знак"/>
    <w:link w:val="NoSpacing"/>
    <w:qFormat/>
    <w:rPr>
      <w:rFonts w:ascii="Calibri" w:hAnsi="Calibri" w:cs="Arial" w:asciiTheme="minorHAnsi" w:cstheme="minorBidi" w:hAnsiTheme="minorHAnsi"/>
      <w:sz w:val="22"/>
      <w:szCs w:val="22"/>
    </w:rPr>
  </w:style>
  <w:style w:type="character" w:styleId="Style20" w:customStyle="1">
    <w:name w:val="Без интервала Знак Знак Знак"/>
    <w:basedOn w:val="DefaultParagraphFont"/>
    <w:link w:val="Style35"/>
    <w:uiPriority w:val="1"/>
    <w:qFormat/>
    <w:rPr>
      <w:sz w:val="22"/>
      <w:szCs w:val="22"/>
    </w:rPr>
  </w:style>
  <w:style w:type="character" w:styleId="Docdata" w:customStyle="1">
    <w:name w:val="docdata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7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8">
    <w:name w:val="Footnote Text"/>
    <w:basedOn w:val="Normal"/>
    <w:link w:val="Style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9">
    <w:name w:val="Endnote Text"/>
    <w:basedOn w:val="Normal"/>
    <w:link w:val="Style1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0">
    <w:name w:val="Index Heading"/>
    <w:basedOn w:val="Style21"/>
    <w:pPr/>
    <w:rPr/>
  </w:style>
  <w:style w:type="paragraph" w:styleId="Style31">
    <w:name w:val="TOC Heading"/>
    <w:uiPriority w:val="39"/>
    <w:unhideWhenUsed/>
    <w:pPr>
      <w:widowControl/>
      <w:bidi w:val="0"/>
      <w:spacing w:lineRule="auto" w:line="259" w:beforeAutospacing="0" w:before="0" w:afterAutospacing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40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12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Style13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Style18"/>
    <w:uiPriority w:val="34"/>
    <w:qFormat/>
    <w:pPr>
      <w:spacing w:lineRule="auto" w:line="254" w:before="0" w:after="160"/>
      <w:ind w:left="720" w:hanging="0"/>
      <w:contextualSpacing/>
    </w:pPr>
    <w:rPr>
      <w:rFonts w:ascii="Calibri" w:hAnsi="Calibri" w:cs="Arial" w:asciiTheme="minorHAnsi" w:cstheme="minorBidi" w:hAnsiTheme="minorHAnsi"/>
      <w:sz w:val="22"/>
      <w:szCs w:val="22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nsolas" w:hAnsi="Consolas" w:cs="Consolas"/>
      <w:sz w:val="20"/>
      <w:szCs w:val="20"/>
    </w:rPr>
  </w:style>
  <w:style w:type="paragraph" w:styleId="NoSpacing">
    <w:name w:val="No Spacing"/>
    <w:link w:val="Style19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cs="Arial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paragraph" w:styleId="Paragraph" w:customStyle="1">
    <w:name w:val="paragraph"/>
    <w:basedOn w:val="Normal"/>
    <w:qFormat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13" w:customStyle="1">
    <w:name w:val="Гиперссылка1"/>
    <w:basedOn w:val="Normal"/>
    <w:qFormat/>
    <w:pPr>
      <w:spacing w:lineRule="auto" w:line="264"/>
    </w:pPr>
    <w:rPr>
      <w:rFonts w:ascii="Calibri" w:hAnsi="Calibri" w:eastAsia="Times New Roman" w:asciiTheme="minorHAnsi"/>
      <w:color w:val="0000FF"/>
      <w:sz w:val="22"/>
      <w:szCs w:val="20"/>
      <w:u w:val="single"/>
      <w:lang w:eastAsia="ru-RU"/>
    </w:rPr>
  </w:style>
  <w:style w:type="paragraph" w:styleId="Style35" w:customStyle="1">
    <w:name w:val="Без интервала Знак Знак"/>
    <w:link w:val="Style20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1390" w:customStyle="1">
    <w:name w:val="1390"/>
    <w:qFormat/>
    <w:pPr>
      <w:widowControl/>
      <w:bidi w:val="0"/>
      <w:spacing w:lineRule="auto" w:line="240" w:beforeAutospacing="1" w:afterAutospacing="1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748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"/>
    <w:basedOn w:val="74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72">
    <w:name w:val="Table Grid Light"/>
    <w:basedOn w:val="74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3">
    <w:name w:val="Plain Table 1"/>
    <w:basedOn w:val="74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74">
    <w:name w:val="Plain Table 2"/>
    <w:basedOn w:val="74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75">
    <w:name w:val="Plain Table 3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76">
    <w:name w:val="Plain Table 4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77">
    <w:name w:val="Plain Table 5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8">
    <w:name w:val="Grid Table 1 Light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79">
    <w:name w:val="Grid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0">
    <w:name w:val="Grid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1">
    <w:name w:val="Grid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2">
    <w:name w:val="Grid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3">
    <w:name w:val="Grid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4">
    <w:name w:val="Grid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85">
    <w:name w:val="Grid Table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6">
    <w:name w:val="Grid Table 2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7">
    <w:name w:val="Grid Table 2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8">
    <w:name w:val="Grid Table 2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9">
    <w:name w:val="Grid Table 2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0">
    <w:name w:val="Grid Table 2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1">
    <w:name w:val="Grid Table 2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2">
    <w:name w:val="Grid Table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3">
    <w:name w:val="Grid Table 3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4">
    <w:name w:val="Grid Table 3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5">
    <w:name w:val="Grid Table 3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6">
    <w:name w:val="Grid Table 3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7">
    <w:name w:val="Grid Table 3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98">
    <w:name w:val="Grid Table 3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9">
    <w:name w:val="Grid Table 4"/>
    <w:basedOn w:val="7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800">
    <w:name w:val="Grid Table 4 - Accent 1"/>
    <w:basedOn w:val="7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</w:style>
  <w:style w:type="table" w:customStyle="1" w:styleId="801">
    <w:name w:val="Grid Table 4 - Accent 2"/>
    <w:basedOn w:val="7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802">
    <w:name w:val="Grid Table 4 - Accent 3"/>
    <w:basedOn w:val="7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</w:style>
  <w:style w:type="table" w:customStyle="1" w:styleId="803">
    <w:name w:val="Grid Table 4 - Accent 4"/>
    <w:basedOn w:val="7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804">
    <w:name w:val="Grid Table 4 - Accent 5"/>
    <w:basedOn w:val="7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</w:style>
  <w:style w:type="table" w:customStyle="1" w:styleId="805">
    <w:name w:val="Grid Table 4 - Accent 6"/>
    <w:basedOn w:val="7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</w:style>
  <w:style w:type="table" w:styleId="806">
    <w:name w:val="Grid Table 5 Dark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8A8A8A" w:fill="8A8A8A" w:themeFill="text1" w:themeFillTint="75"/>
      </w:tcPr>
    </w:tblStylePr>
    <w:tblStylePr w:type="band1Vert">
      <w:tblPr/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customStyle="1" w:styleId="807">
    <w:name w:val="Grid Table 5 Dark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B3D0EB" w:fill="B3D0EB" w:themeFill="accent1" w:themeFillTint="75"/>
      </w:tcPr>
    </w:tblStylePr>
    <w:tblStylePr w:type="band1Vert">
      <w:tblPr/>
      <w:tcPr>
        <w:shd w:val="clear" w:color="B3D0EB" w:fill="B3D0EB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808">
    <w:name w:val="Grid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F6C3A0" w:fill="F6C3A0" w:themeFill="accent2" w:themeFillTint="75"/>
      </w:tcPr>
    </w:tblStylePr>
    <w:tblStylePr w:type="band1Vert">
      <w:tblPr/>
      <w:tcPr>
        <w:shd w:val="clear" w:color="F6C3A0" w:fill="F6C3A0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</w:style>
  <w:style w:type="table" w:customStyle="1" w:styleId="809">
    <w:name w:val="Grid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D5D5D5" w:fill="D5D5D5" w:themeFill="accent3" w:themeFillTint="75"/>
      </w:tcPr>
    </w:tblStylePr>
    <w:tblStylePr w:type="band1Vert">
      <w:tblPr/>
      <w:tcPr>
        <w:shd w:val="clear" w:color="D5D5D5" w:fill="D5D5D5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</w:style>
  <w:style w:type="table" w:customStyle="1" w:styleId="810">
    <w:name w:val="Grid Table 5 Dark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FFE28A" w:fill="FFE28A" w:themeFill="accent4" w:themeFillTint="75"/>
      </w:tcPr>
    </w:tblStylePr>
    <w:tblStylePr w:type="band1Vert">
      <w:tblPr/>
      <w:tcPr>
        <w:shd w:val="clear" w:color="FFE28A" w:fill="FFE28A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</w:style>
  <w:style w:type="table" w:customStyle="1" w:styleId="811">
    <w:name w:val="Grid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A9BEE4" w:fill="A9BEE4" w:themeFill="accent5" w:themeFillTint="7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</w:style>
  <w:style w:type="table" w:customStyle="1" w:styleId="812">
    <w:name w:val="Grid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BCDBA8" w:fill="BCDBA8" w:themeFill="accent6" w:themeFillTint="75"/>
      </w:tcPr>
    </w:tblStylePr>
    <w:tblStylePr w:type="band1Vert">
      <w:tblPr/>
      <w:tcPr>
        <w:shd w:val="clear" w:color="BCDBA8" w:fill="BCDB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</w:style>
  <w:style w:type="table" w:styleId="813">
    <w:name w:val="Grid Table 6 Colorful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1Vert"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814">
    <w:name w:val="Grid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  <w:tblPr/>
    </w:tblStylePr>
    <w:tblStylePr w:type="lastRow">
      <w:rPr>
        <w:b/>
        <w:color w:val="ACCCEA" w:themeColor="accent1" w:themeTint="80" w:themeShade="95"/>
      </w:rPr>
      <w:tblPr/>
    </w:tblStylePr>
  </w:style>
  <w:style w:type="table" w:customStyle="1" w:styleId="815">
    <w:name w:val="Grid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</w:tblStylePr>
  </w:style>
  <w:style w:type="table" w:customStyle="1" w:styleId="816">
    <w:name w:val="Grid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  <w:tblPr/>
    </w:tblStylePr>
    <w:tblStylePr w:type="lastRow">
      <w:rPr>
        <w:b/>
        <w:color w:val="A5A5A5" w:themeColor="accent3" w:themeTint="fe" w:themeShade="95"/>
      </w:rPr>
      <w:tblPr/>
    </w:tblStylePr>
  </w:style>
  <w:style w:type="table" w:customStyle="1" w:styleId="817">
    <w:name w:val="Grid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</w:tblStylePr>
  </w:style>
  <w:style w:type="table" w:customStyle="1" w:styleId="818">
    <w:name w:val="Grid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customStyle="1" w:styleId="819">
    <w:name w:val="Grid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styleId="820">
    <w:name w:val="Grid Table 7 Colorful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21">
    <w:name w:val="Grid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22">
    <w:name w:val="Grid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23">
    <w:name w:val="Grid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24">
    <w:name w:val="Grid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25">
    <w:name w:val="Grid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26">
    <w:name w:val="Grid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styleId="827">
    <w:name w:val="List Table 1 Light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28">
    <w:name w:val="List Table 1 Light - Accent 1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29">
    <w:name w:val="List Table 1 Light - Accent 2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30">
    <w:name w:val="List Table 1 Light - Accent 3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31">
    <w:name w:val="List Table 1 Light - Accent 4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32">
    <w:name w:val="List Table 1 Light - Accent 5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33">
    <w:name w:val="List Table 1 Light - Accent 6"/>
    <w:basedOn w:val="7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customStyle="1" w:styleId="835">
    <w:name w:val="List Table 2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customStyle="1" w:styleId="836">
    <w:name w:val="List Table 2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customStyle="1" w:styleId="837">
    <w:name w:val="List Table 2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customStyle="1" w:styleId="838">
    <w:name w:val="List Table 2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customStyle="1" w:styleId="839">
    <w:name w:val="List Table 2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customStyle="1" w:styleId="840">
    <w:name w:val="List Table 2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41">
    <w:name w:val="List Table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2">
    <w:name w:val="List Table 3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3">
    <w:name w:val="List Table 3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4">
    <w:name w:val="List Table 3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5">
    <w:name w:val="List Table 3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6">
    <w:name w:val="List Table 3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7">
    <w:name w:val="List Table 3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48">
    <w:name w:val="List Table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9">
    <w:name w:val="List Table 4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50">
    <w:name w:val="List Table 4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51">
    <w:name w:val="List Table 4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52">
    <w:name w:val="List Table 4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53">
    <w:name w:val="List Table 4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54">
    <w:name w:val="List Table 4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55">
    <w:name w:val="List Table 5 Dark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6">
    <w:name w:val="List Table 5 Dark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7">
    <w:name w:val="List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8">
    <w:name w:val="List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9">
    <w:name w:val="List Table 5 Dark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60">
    <w:name w:val="List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61">
    <w:name w:val="List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862">
    <w:name w:val="List Table 6 Colorful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63">
    <w:name w:val="List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rPr>
        <w:b/>
        <w:color w:val="245A8D" w:themeColor="accent1" w:themeShade="95"/>
      </w:rPr>
      <w:tblPr/>
    </w:tblStyle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tblPr/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</w:style>
  <w:style w:type="table" w:customStyle="1" w:styleId="864">
    <w:name w:val="List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865">
    <w:name w:val="List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rPr>
        <w:b/>
        <w:color w:val="C9C9C9" w:themeColor="accent3" w:themeTint="98" w:themeShade="95"/>
      </w:rPr>
      <w:tblPr/>
    </w:tblStyle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  <w:tblPr/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</w:style>
  <w:style w:type="table" w:customStyle="1" w:styleId="866">
    <w:name w:val="List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867">
    <w:name w:val="List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rPr>
        <w:b/>
        <w:color w:val="8DA9DB" w:themeColor="accent5" w:themeTint="9a" w:themeShade="95"/>
      </w:rPr>
      <w:tblPr/>
    </w:tblStyle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  <w:tblPr/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</w:style>
  <w:style w:type="table" w:customStyle="1" w:styleId="868">
    <w:name w:val="List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rPr>
        <w:b/>
        <w:color w:val="A9D08E" w:themeColor="accent6" w:themeTint="98" w:themeShade="95"/>
      </w:rPr>
      <w:tblPr/>
    </w:tblStyle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  <w:tblPr/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</w:style>
  <w:style w:type="table" w:styleId="869">
    <w:name w:val="List Table 7 Colorful"/>
    <w:basedOn w:val="7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70">
    <w:name w:val="List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71">
    <w:name w:val="List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72">
    <w:name w:val="List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73">
    <w:name w:val="List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74">
    <w:name w:val="List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75">
    <w:name w:val="List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76">
    <w:name w:val="Lined - Accent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77">
    <w:name w:val="Lined - Accent 1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78">
    <w:name w:val="Lined - Accent 2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79">
    <w:name w:val="Lined - Accent 3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80">
    <w:name w:val="Lined - Accent 4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81">
    <w:name w:val="Lined - Accent 5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</w:style>
  <w:style w:type="table" w:customStyle="1" w:styleId="882">
    <w:name w:val="Lined - Accent 6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</w:style>
  <w:style w:type="table" w:customStyle="1" w:styleId="883">
    <w:name w:val="Bordered &amp; Lined - Accent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84">
    <w:name w:val="Bordered &amp; Lined - Accent 1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85">
    <w:name w:val="Bordered &amp; Lined - Accent 2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86">
    <w:name w:val="Bordered &amp; Lined - Accent 3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87">
    <w:name w:val="Bordered &amp; Lined - Accent 4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88">
    <w:name w:val="Bordered &amp; Lined - Accent 5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</w:style>
  <w:style w:type="table" w:customStyle="1" w:styleId="889">
    <w:name w:val="Bordered &amp; Lined - Accent 6"/>
    <w:basedOn w:val="748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</w:style>
  <w:style w:type="table" w:customStyle="1" w:styleId="890">
    <w:name w:val="Bordered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91">
    <w:name w:val="Bordered - Accent 1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</w:style>
  <w:style w:type="table" w:customStyle="1" w:styleId="892">
    <w:name w:val="Bordered - Accent 2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</w:style>
  <w:style w:type="table" w:customStyle="1" w:styleId="893">
    <w:name w:val="Bordered - Accent 3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</w:style>
  <w:style w:type="table" w:customStyle="1" w:styleId="894">
    <w:name w:val="Bordered - Accent 4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</w:style>
  <w:style w:type="table" w:customStyle="1" w:styleId="895">
    <w:name w:val="Bordered - Accent 5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</w:style>
  <w:style w:type="table" w:customStyle="1" w:styleId="896">
    <w:name w:val="Bordered - Accent 6"/>
    <w:basedOn w:val="7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lkrf.ru/" TargetMode="External"/><Relationship Id="rId3" Type="http://schemas.openxmlformats.org/officeDocument/2006/relationships/hyperlink" Target="https://www.polkrf.ru/shtender" TargetMode="External"/><Relationship Id="rId4" Type="http://schemas.openxmlformats.org/officeDocument/2006/relationships/hyperlink" Target="https://www.n-vartovsk.ru/news/citywide_news/76_letie_pobedy/463292.html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 LibreOffice_project/d1d0ea68f081ee2800a922cac8f79445e4603348</Application>
  <AppVersion>15.0000</AppVersion>
  <Pages>3</Pages>
  <Words>1025</Words>
  <Characters>6659</Characters>
  <CharactersWithSpaces>7629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2023-04-28T04:17:00Z</dcterms:created>
  <dc:creator>Горнева Татьяна Михайловна</dc:creator>
  <dc:description/>
  <dc:language>ru-RU</dc:language>
  <cp:lastModifiedBy/>
  <dcterms:modified xsi:type="dcterms:W3CDTF">2023-05-02T07:05:22Z</dcterms:modified>
  <cp:revision>25</cp:revision>
  <dc:subject/>
  <dc:title/>
</cp:coreProperties>
</file>